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5.1.4 The Institution has a transparent mechanism for timely redressal of student grievances including sexual harassment and ragging cases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Implementation of guidelines of statutory / regulator bodies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Organisation wide awareness and undertakings on policies with zero tolerance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Mechanisms for submission of online/offline students’ grievances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Timely redressal of the grievances through appropriate committees</w:t>
      </w: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jc w:val="center"/>
        <w:rPr>
          <w:b w:val="1"/>
          <w:sz w:val="24"/>
          <w:szCs w:val="24"/>
          <w:u w:val="single"/>
        </w:rPr>
      </w:pPr>
      <w:r w:rsidDel="00000000" w:rsidR="00000000" w:rsidRPr="00000000">
        <w:rPr>
          <w:rFonts w:ascii="Tahoma" w:cs="Tahoma" w:eastAsia="Tahoma" w:hAnsi="Tahoma"/>
          <w:b w:val="1"/>
          <w:i w:val="0"/>
          <w:color w:val="333333"/>
          <w:sz w:val="24"/>
          <w:szCs w:val="24"/>
          <w:highlight w:val="white"/>
          <w:rtl w:val="0"/>
        </w:rPr>
        <w:t xml:space="preserve"> </w:t>
      </w:r>
      <w:r w:rsidDel="00000000" w:rsidR="00000000" w:rsidRPr="00000000">
        <w:rPr>
          <w:b w:val="1"/>
          <w:sz w:val="24"/>
          <w:szCs w:val="24"/>
          <w:highlight w:val="yellow"/>
          <w:u w:val="single"/>
          <w:rtl w:val="0"/>
        </w:rPr>
        <w:t xml:space="preserve">HEI responses to DVV</w:t>
      </w:r>
      <w:r w:rsidDel="00000000" w:rsidR="00000000" w:rsidRPr="00000000">
        <w:rPr>
          <w:rtl w:val="0"/>
        </w:rPr>
      </w:r>
    </w:p>
    <w:p w:rsidR="00000000" w:rsidDel="00000000" w:rsidP="00000000" w:rsidRDefault="00000000" w:rsidRPr="00000000" w14:paraId="00000008">
      <w:pPr>
        <w:jc w:val="center"/>
        <w:rPr>
          <w:u w:val="single"/>
        </w:rPr>
      </w:pPr>
      <w:r w:rsidDel="00000000" w:rsidR="00000000" w:rsidRPr="00000000">
        <w:rPr>
          <w:rtl w:val="0"/>
        </w:rPr>
      </w:r>
    </w:p>
    <w:p w:rsidR="00000000" w:rsidDel="00000000" w:rsidP="00000000" w:rsidRDefault="00000000" w:rsidRPr="00000000" w14:paraId="00000009">
      <w:pPr>
        <w:shd w:fill="ffffff" w:val="clear"/>
        <w:spacing w:after="0" w:line="240" w:lineRule="auto"/>
        <w:rPr>
          <w:rFonts w:ascii="Tahoma" w:cs="Tahoma" w:eastAsia="Tahoma" w:hAnsi="Tahoma"/>
          <w:b w:val="1"/>
          <w:color w:val="333333"/>
          <w:sz w:val="18"/>
          <w:szCs w:val="18"/>
        </w:rPr>
      </w:pPr>
      <w:r w:rsidDel="00000000" w:rsidR="00000000" w:rsidRPr="00000000">
        <w:rPr>
          <w:rtl w:val="0"/>
        </w:rPr>
      </w:r>
    </w:p>
    <w:p w:rsidR="00000000" w:rsidDel="00000000" w:rsidP="00000000" w:rsidRDefault="00000000" w:rsidRPr="00000000" w14:paraId="0000000A">
      <w:pPr>
        <w:shd w:fill="ffffff" w:val="clear"/>
        <w:spacing w:after="0" w:line="240" w:lineRule="auto"/>
        <w:rPr>
          <w:rFonts w:ascii="Tahoma" w:cs="Tahoma" w:eastAsia="Tahoma" w:hAnsi="Tahoma"/>
          <w:b w:val="1"/>
          <w:color w:val="333333"/>
          <w:sz w:val="18"/>
          <w:szCs w:val="18"/>
        </w:rPr>
      </w:pPr>
      <w:r w:rsidDel="00000000" w:rsidR="00000000" w:rsidRPr="00000000">
        <w:rPr>
          <w:rtl w:val="0"/>
        </w:rPr>
      </w:r>
    </w:p>
    <w:tbl>
      <w:tblPr>
        <w:tblStyle w:val="Table1"/>
        <w:tblW w:w="100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0"/>
        <w:gridCol w:w="4245"/>
        <w:gridCol w:w="4935"/>
        <w:tblGridChange w:id="0">
          <w:tblGrid>
            <w:gridCol w:w="840"/>
            <w:gridCol w:w="4245"/>
            <w:gridCol w:w="4935"/>
          </w:tblGrid>
        </w:tblGridChange>
      </w:tblGrid>
      <w:tr>
        <w:trPr>
          <w:cantSplit w:val="0"/>
          <w:tblHeader w:val="0"/>
        </w:trPr>
        <w:tc>
          <w:tcPr/>
          <w:p w:rsidR="00000000" w:rsidDel="00000000" w:rsidP="00000000" w:rsidRDefault="00000000" w:rsidRPr="00000000" w14:paraId="0000000B">
            <w:pPr>
              <w:jc w:val="center"/>
              <w:rPr>
                <w:b w:val="1"/>
                <w:sz w:val="24"/>
                <w:szCs w:val="24"/>
                <w:highlight w:val="green"/>
              </w:rPr>
            </w:pPr>
            <w:r w:rsidDel="00000000" w:rsidR="00000000" w:rsidRPr="00000000">
              <w:rPr>
                <w:b w:val="1"/>
                <w:sz w:val="24"/>
                <w:szCs w:val="24"/>
                <w:highlight w:val="green"/>
                <w:rtl w:val="0"/>
              </w:rPr>
              <w:t xml:space="preserve">Sl.no</w:t>
            </w:r>
          </w:p>
        </w:tc>
        <w:tc>
          <w:tcPr/>
          <w:p w:rsidR="00000000" w:rsidDel="00000000" w:rsidP="00000000" w:rsidRDefault="00000000" w:rsidRPr="00000000" w14:paraId="0000000C">
            <w:pPr>
              <w:jc w:val="center"/>
              <w:rPr>
                <w:b w:val="1"/>
                <w:sz w:val="24"/>
                <w:szCs w:val="24"/>
                <w:highlight w:val="green"/>
              </w:rPr>
            </w:pPr>
            <w:r w:rsidDel="00000000" w:rsidR="00000000" w:rsidRPr="00000000">
              <w:rPr>
                <w:b w:val="1"/>
                <w:sz w:val="24"/>
                <w:szCs w:val="24"/>
                <w:highlight w:val="green"/>
                <w:rtl w:val="0"/>
              </w:rPr>
              <w:t xml:space="preserve">DVV query</w:t>
            </w:r>
          </w:p>
        </w:tc>
        <w:tc>
          <w:tcPr/>
          <w:p w:rsidR="00000000" w:rsidDel="00000000" w:rsidP="00000000" w:rsidRDefault="00000000" w:rsidRPr="00000000" w14:paraId="0000000D">
            <w:pPr>
              <w:jc w:val="center"/>
              <w:rPr>
                <w:b w:val="1"/>
                <w:sz w:val="24"/>
                <w:szCs w:val="24"/>
                <w:highlight w:val="green"/>
              </w:rPr>
            </w:pPr>
            <w:r w:rsidDel="00000000" w:rsidR="00000000" w:rsidRPr="00000000">
              <w:rPr>
                <w:b w:val="1"/>
                <w:sz w:val="24"/>
                <w:szCs w:val="24"/>
                <w:highlight w:val="green"/>
                <w:rtl w:val="0"/>
              </w:rPr>
              <w:t xml:space="preserve">HEI response</w:t>
            </w:r>
          </w:p>
        </w:tc>
      </w:tr>
      <w:tr>
        <w:trPr>
          <w:cantSplit w:val="0"/>
          <w:trHeight w:val="522" w:hRule="atLeast"/>
          <w:tblHeader w:val="0"/>
        </w:trPr>
        <w:tc>
          <w:tcPr/>
          <w:p w:rsidR="00000000" w:rsidDel="00000000" w:rsidP="00000000" w:rsidRDefault="00000000" w:rsidRPr="00000000" w14:paraId="0000000E">
            <w:pPr>
              <w:jc w:val="center"/>
              <w:rPr>
                <w:b w:val="1"/>
                <w:sz w:val="24"/>
                <w:szCs w:val="24"/>
              </w:rPr>
            </w:pPr>
            <w:r w:rsidDel="00000000" w:rsidR="00000000" w:rsidRPr="00000000">
              <w:rPr>
                <w:b w:val="1"/>
                <w:sz w:val="24"/>
                <w:szCs w:val="24"/>
                <w:rtl w:val="0"/>
              </w:rPr>
              <w:t xml:space="preserve">1</w:t>
            </w:r>
          </w:p>
        </w:tc>
        <w:tc>
          <w:tcPr/>
          <w:p w:rsidR="00000000" w:rsidDel="00000000" w:rsidP="00000000" w:rsidRDefault="00000000" w:rsidRPr="00000000" w14:paraId="0000000F">
            <w:pPr>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HEI is requested to kindly provide Proof of constitution of Internal committees / Grievances Committee formation / other committees as per UGC norms. </w:t>
            </w:r>
          </w:p>
          <w:p w:rsidR="00000000" w:rsidDel="00000000" w:rsidP="00000000" w:rsidRDefault="00000000" w:rsidRPr="00000000" w14:paraId="00000010">
            <w:pPr>
              <w:jc w:val="both"/>
              <w:rPr>
                <w:b w:val="1"/>
                <w:sz w:val="24"/>
                <w:szCs w:val="24"/>
              </w:rPr>
            </w:pPr>
            <w:r w:rsidDel="00000000" w:rsidR="00000000" w:rsidRPr="00000000">
              <w:rPr>
                <w:rtl w:val="0"/>
              </w:rPr>
            </w:r>
          </w:p>
        </w:tc>
        <w:tc>
          <w:tcPr/>
          <w:p w:rsidR="00000000" w:rsidDel="00000000" w:rsidP="00000000" w:rsidRDefault="00000000" w:rsidRPr="00000000" w14:paraId="00000011">
            <w:pPr>
              <w:rPr>
                <w:sz w:val="24"/>
                <w:szCs w:val="24"/>
              </w:rPr>
            </w:pPr>
            <w:r w:rsidDel="00000000" w:rsidR="00000000" w:rsidRPr="00000000">
              <w:rPr>
                <w:sz w:val="24"/>
                <w:szCs w:val="24"/>
                <w:rtl w:val="0"/>
              </w:rPr>
              <w:t xml:space="preserve">5.1.4_(a)_Antiragging_Upload</w:t>
            </w:r>
          </w:p>
          <w:p w:rsidR="00000000" w:rsidDel="00000000" w:rsidP="00000000" w:rsidRDefault="00000000" w:rsidRPr="00000000" w14:paraId="00000012">
            <w:pPr>
              <w:rPr>
                <w:sz w:val="24"/>
                <w:szCs w:val="24"/>
              </w:rPr>
            </w:pPr>
            <w:r w:rsidDel="00000000" w:rsidR="00000000" w:rsidRPr="00000000">
              <w:rPr>
                <w:sz w:val="24"/>
                <w:szCs w:val="24"/>
                <w:rtl w:val="0"/>
              </w:rPr>
              <w:t xml:space="preserve">5.1.4_(a)_Grievances_Merged</w:t>
            </w:r>
          </w:p>
        </w:tc>
      </w:tr>
      <w:tr>
        <w:trPr>
          <w:cantSplit w:val="0"/>
          <w:tblHeader w:val="0"/>
        </w:trPr>
        <w:tc>
          <w:tcPr/>
          <w:p w:rsidR="00000000" w:rsidDel="00000000" w:rsidP="00000000" w:rsidRDefault="00000000" w:rsidRPr="00000000" w14:paraId="00000013">
            <w:pPr>
              <w:jc w:val="center"/>
              <w:rPr>
                <w:b w:val="1"/>
                <w:sz w:val="24"/>
                <w:szCs w:val="24"/>
              </w:rPr>
            </w:pPr>
            <w:r w:rsidDel="00000000" w:rsidR="00000000" w:rsidRPr="00000000">
              <w:rPr>
                <w:b w:val="1"/>
                <w:sz w:val="24"/>
                <w:szCs w:val="24"/>
                <w:rtl w:val="0"/>
              </w:rPr>
              <w:t xml:space="preserve">2</w:t>
            </w:r>
          </w:p>
        </w:tc>
        <w:tc>
          <w:tcPr/>
          <w:p w:rsidR="00000000" w:rsidDel="00000000" w:rsidP="00000000" w:rsidRDefault="00000000" w:rsidRPr="00000000" w14:paraId="00000014">
            <w:pPr>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Please provide Circular/web-link/ committee report justifying the objective of the metric </w:t>
            </w:r>
          </w:p>
          <w:p w:rsidR="00000000" w:rsidDel="00000000" w:rsidP="00000000" w:rsidRDefault="00000000" w:rsidRPr="00000000" w14:paraId="00000015">
            <w:pPr>
              <w:jc w:val="both"/>
              <w:rPr>
                <w:b w:val="1"/>
                <w:sz w:val="24"/>
                <w:szCs w:val="24"/>
              </w:rPr>
            </w:pPr>
            <w:r w:rsidDel="00000000" w:rsidR="00000000" w:rsidRPr="00000000">
              <w:rPr>
                <w:rtl w:val="0"/>
              </w:rPr>
            </w:r>
          </w:p>
        </w:tc>
        <w:tc>
          <w:tcPr/>
          <w:p w:rsidR="00000000" w:rsidDel="00000000" w:rsidP="00000000" w:rsidRDefault="00000000" w:rsidRPr="00000000" w14:paraId="00000016">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7">
            <w:pPr>
              <w:jc w:val="center"/>
              <w:rPr>
                <w:b w:val="1"/>
                <w:sz w:val="24"/>
                <w:szCs w:val="24"/>
              </w:rPr>
            </w:pPr>
            <w:r w:rsidDel="00000000" w:rsidR="00000000" w:rsidRPr="00000000">
              <w:rPr>
                <w:b w:val="1"/>
                <w:sz w:val="24"/>
                <w:szCs w:val="24"/>
                <w:rtl w:val="0"/>
              </w:rPr>
              <w:t xml:space="preserve">3</w:t>
            </w:r>
          </w:p>
        </w:tc>
        <w:tc>
          <w:tcPr/>
          <w:p w:rsidR="00000000" w:rsidDel="00000000" w:rsidP="00000000" w:rsidRDefault="00000000" w:rsidRPr="00000000" w14:paraId="00000018">
            <w:pPr>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Please provide Minutes of the meetings of student grievance committee, as per metric.</w:t>
            </w:r>
          </w:p>
          <w:p w:rsidR="00000000" w:rsidDel="00000000" w:rsidP="00000000" w:rsidRDefault="00000000" w:rsidRPr="00000000" w14:paraId="00000019">
            <w:pPr>
              <w:jc w:val="both"/>
              <w:rPr>
                <w:b w:val="1"/>
                <w:sz w:val="24"/>
                <w:szCs w:val="24"/>
              </w:rPr>
            </w:pPr>
            <w:r w:rsidDel="00000000" w:rsidR="00000000" w:rsidRPr="00000000">
              <w:rPr>
                <w:rtl w:val="0"/>
              </w:rPr>
            </w:r>
          </w:p>
        </w:tc>
        <w:tc>
          <w:tcPr/>
          <w:p w:rsidR="00000000" w:rsidDel="00000000" w:rsidP="00000000" w:rsidRDefault="00000000" w:rsidRPr="00000000" w14:paraId="0000001A">
            <w:pPr>
              <w:rPr>
                <w:sz w:val="24"/>
                <w:szCs w:val="24"/>
              </w:rPr>
            </w:pPr>
            <w:r w:rsidDel="00000000" w:rsidR="00000000" w:rsidRPr="00000000">
              <w:rPr>
                <w:sz w:val="24"/>
                <w:szCs w:val="24"/>
                <w:rtl w:val="0"/>
              </w:rPr>
              <w:t xml:space="preserve">ANNUAL_REPORT_2018_19</w:t>
            </w:r>
          </w:p>
          <w:p w:rsidR="00000000" w:rsidDel="00000000" w:rsidP="00000000" w:rsidRDefault="00000000" w:rsidRPr="00000000" w14:paraId="0000001B">
            <w:pPr>
              <w:rPr>
                <w:sz w:val="24"/>
                <w:szCs w:val="24"/>
              </w:rPr>
            </w:pPr>
            <w:r w:rsidDel="00000000" w:rsidR="00000000" w:rsidRPr="00000000">
              <w:rPr>
                <w:sz w:val="24"/>
                <w:szCs w:val="24"/>
                <w:rtl w:val="0"/>
              </w:rPr>
              <w:t xml:space="preserve">ANNUAL_REPORT_2019_20</w:t>
            </w:r>
          </w:p>
          <w:p w:rsidR="00000000" w:rsidDel="00000000" w:rsidP="00000000" w:rsidRDefault="00000000" w:rsidRPr="00000000" w14:paraId="0000001C">
            <w:pPr>
              <w:rPr>
                <w:sz w:val="24"/>
                <w:szCs w:val="24"/>
              </w:rPr>
            </w:pPr>
            <w:r w:rsidDel="00000000" w:rsidR="00000000" w:rsidRPr="00000000">
              <w:rPr>
                <w:sz w:val="24"/>
                <w:szCs w:val="24"/>
                <w:rtl w:val="0"/>
              </w:rPr>
              <w:t xml:space="preserve">ANNUAL_REPORT_2020_21</w:t>
            </w:r>
          </w:p>
          <w:p w:rsidR="00000000" w:rsidDel="00000000" w:rsidP="00000000" w:rsidRDefault="00000000" w:rsidRPr="00000000" w14:paraId="0000001D">
            <w:pPr>
              <w:rPr>
                <w:sz w:val="24"/>
                <w:szCs w:val="24"/>
              </w:rPr>
            </w:pPr>
            <w:r w:rsidDel="00000000" w:rsidR="00000000" w:rsidRPr="00000000">
              <w:rPr>
                <w:sz w:val="24"/>
                <w:szCs w:val="24"/>
                <w:rtl w:val="0"/>
              </w:rPr>
              <w:t xml:space="preserve">ANNUAL_REPORT_2021_22</w:t>
            </w:r>
          </w:p>
          <w:p w:rsidR="00000000" w:rsidDel="00000000" w:rsidP="00000000" w:rsidRDefault="00000000" w:rsidRPr="00000000" w14:paraId="0000001E">
            <w:pPr>
              <w:rPr>
                <w:sz w:val="24"/>
                <w:szCs w:val="24"/>
              </w:rPr>
            </w:pPr>
            <w:r w:rsidDel="00000000" w:rsidR="00000000" w:rsidRPr="00000000">
              <w:rPr>
                <w:sz w:val="24"/>
                <w:szCs w:val="24"/>
                <w:rtl w:val="0"/>
              </w:rPr>
              <w:t xml:space="preserve">ANNUAL_REPORT_2022_23</w:t>
            </w:r>
          </w:p>
          <w:p w:rsidR="00000000" w:rsidDel="00000000" w:rsidP="00000000" w:rsidRDefault="00000000" w:rsidRPr="00000000" w14:paraId="0000001F">
            <w:pPr>
              <w:rPr>
                <w:sz w:val="24"/>
                <w:szCs w:val="24"/>
              </w:rPr>
            </w:pPr>
            <w:r w:rsidDel="00000000" w:rsidR="00000000" w:rsidRPr="00000000">
              <w:rPr>
                <w:sz w:val="24"/>
                <w:szCs w:val="24"/>
                <w:rtl w:val="0"/>
              </w:rPr>
              <w:t xml:space="preserve">5.1.4_(a)_Antiragging_Upload</w:t>
            </w:r>
          </w:p>
          <w:p w:rsidR="00000000" w:rsidDel="00000000" w:rsidP="00000000" w:rsidRDefault="00000000" w:rsidRPr="00000000" w14:paraId="00000020">
            <w:pPr>
              <w:rPr>
                <w:sz w:val="24"/>
                <w:szCs w:val="24"/>
              </w:rPr>
            </w:pPr>
            <w:r w:rsidDel="00000000" w:rsidR="00000000" w:rsidRPr="00000000">
              <w:rPr>
                <w:sz w:val="24"/>
                <w:szCs w:val="24"/>
                <w:rtl w:val="0"/>
              </w:rPr>
              <w:t xml:space="preserve">5.1.4_(a)_Grievances_Merged</w:t>
            </w:r>
          </w:p>
          <w:p w:rsidR="00000000" w:rsidDel="00000000" w:rsidP="00000000" w:rsidRDefault="00000000" w:rsidRPr="00000000" w14:paraId="00000021">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2">
            <w:pPr>
              <w:jc w:val="center"/>
              <w:rPr>
                <w:b w:val="1"/>
                <w:sz w:val="24"/>
                <w:szCs w:val="24"/>
              </w:rPr>
            </w:pPr>
            <w:r w:rsidDel="00000000" w:rsidR="00000000" w:rsidRPr="00000000">
              <w:rPr>
                <w:b w:val="1"/>
                <w:sz w:val="24"/>
                <w:szCs w:val="24"/>
                <w:rtl w:val="0"/>
              </w:rPr>
              <w:t xml:space="preserve">4</w:t>
            </w:r>
          </w:p>
        </w:tc>
        <w:tc>
          <w:tcPr/>
          <w:p w:rsidR="00000000" w:rsidDel="00000000" w:rsidP="00000000" w:rsidRDefault="00000000" w:rsidRPr="00000000" w14:paraId="00000023">
            <w:pPr>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.Please provide statutory regulations /norms of UGC/SRA </w:t>
            </w:r>
          </w:p>
          <w:p w:rsidR="00000000" w:rsidDel="00000000" w:rsidP="00000000" w:rsidRDefault="00000000" w:rsidRPr="00000000" w14:paraId="00000024">
            <w:pPr>
              <w:jc w:val="both"/>
              <w:rPr>
                <w:b w:val="1"/>
                <w:sz w:val="24"/>
                <w:szCs w:val="24"/>
              </w:rPr>
            </w:pPr>
            <w:r w:rsidDel="00000000" w:rsidR="00000000" w:rsidRPr="00000000">
              <w:rPr>
                <w:rtl w:val="0"/>
              </w:rPr>
            </w:r>
          </w:p>
        </w:tc>
        <w:tc>
          <w:tcPr/>
          <w:p w:rsidR="00000000" w:rsidDel="00000000" w:rsidP="00000000" w:rsidRDefault="00000000" w:rsidRPr="00000000" w14:paraId="00000025">
            <w:pPr>
              <w:rPr>
                <w:sz w:val="24"/>
                <w:szCs w:val="24"/>
              </w:rPr>
            </w:pPr>
            <w:r w:rsidDel="00000000" w:rsidR="00000000" w:rsidRPr="00000000">
              <w:rPr>
                <w:sz w:val="24"/>
                <w:szCs w:val="24"/>
                <w:rtl w:val="0"/>
              </w:rPr>
              <w:t xml:space="preserve">5.1.4_(b)_online_grievance_submission_proof </w:t>
            </w:r>
          </w:p>
          <w:p w:rsidR="00000000" w:rsidDel="00000000" w:rsidP="00000000" w:rsidRDefault="00000000" w:rsidRPr="00000000" w14:paraId="00000026">
            <w:pPr>
              <w:rPr>
                <w:sz w:val="24"/>
                <w:szCs w:val="24"/>
              </w:rPr>
            </w:pPr>
            <w:r w:rsidDel="00000000" w:rsidR="00000000" w:rsidRPr="00000000">
              <w:rPr>
                <w:sz w:val="24"/>
                <w:szCs w:val="24"/>
                <w:rtl w:val="0"/>
              </w:rPr>
              <w:t xml:space="preserve">Statutory_Declaration</w:t>
            </w:r>
          </w:p>
        </w:tc>
      </w:tr>
      <w:tr>
        <w:trPr>
          <w:cantSplit w:val="0"/>
          <w:tblHeader w:val="0"/>
        </w:trPr>
        <w:tc>
          <w:tcPr/>
          <w:p w:rsidR="00000000" w:rsidDel="00000000" w:rsidP="00000000" w:rsidRDefault="00000000" w:rsidRPr="00000000" w14:paraId="00000027">
            <w:pPr>
              <w:jc w:val="center"/>
              <w:rPr>
                <w:b w:val="1"/>
                <w:sz w:val="24"/>
                <w:szCs w:val="24"/>
              </w:rPr>
            </w:pPr>
            <w:r w:rsidDel="00000000" w:rsidR="00000000" w:rsidRPr="00000000">
              <w:rPr>
                <w:b w:val="1"/>
                <w:sz w:val="24"/>
                <w:szCs w:val="24"/>
                <w:rtl w:val="0"/>
              </w:rPr>
              <w:t xml:space="preserve">5</w:t>
            </w:r>
          </w:p>
        </w:tc>
        <w:tc>
          <w:tcPr/>
          <w:p w:rsidR="00000000" w:rsidDel="00000000" w:rsidP="00000000" w:rsidRDefault="00000000" w:rsidRPr="00000000" w14:paraId="00000028">
            <w:pPr>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5.kindly note that The mechanism of redressal should be available as document and should be hosted in the HEI‟s Website. The link of the same shall be provided to validate the same. </w:t>
            </w:r>
          </w:p>
          <w:p w:rsidR="00000000" w:rsidDel="00000000" w:rsidP="00000000" w:rsidRDefault="00000000" w:rsidRPr="00000000" w14:paraId="00000029">
            <w:pPr>
              <w:rPr>
                <w:rFonts w:ascii="Times New Roman" w:cs="Times New Roman" w:eastAsia="Times New Roman" w:hAnsi="Times New Roman"/>
                <w:color w:val="333333"/>
                <w:sz w:val="24"/>
                <w:szCs w:val="24"/>
                <w:highlight w:val="white"/>
              </w:rPr>
            </w:pPr>
            <w:r w:rsidDel="00000000" w:rsidR="00000000" w:rsidRPr="00000000">
              <w:rPr>
                <w:rtl w:val="0"/>
              </w:rPr>
            </w:r>
          </w:p>
        </w:tc>
        <w:tc>
          <w:tcPr/>
          <w:p w:rsidR="00000000" w:rsidDel="00000000" w:rsidP="00000000" w:rsidRDefault="00000000" w:rsidRPr="00000000" w14:paraId="0000002A">
            <w:pPr>
              <w:rPr>
                <w:b w:val="1"/>
                <w:sz w:val="24"/>
                <w:szCs w:val="24"/>
              </w:rPr>
            </w:pPr>
            <w:r w:rsidDel="00000000" w:rsidR="00000000" w:rsidRPr="00000000">
              <w:rPr>
                <w:rtl w:val="0"/>
              </w:rPr>
            </w:r>
          </w:p>
        </w:tc>
      </w:tr>
    </w:tbl>
    <w:p w:rsidR="00000000" w:rsidDel="00000000" w:rsidP="00000000" w:rsidRDefault="00000000" w:rsidRPr="00000000" w14:paraId="0000002B">
      <w:pPr>
        <w:jc w:val="center"/>
        <w:rPr>
          <w:b w:val="1"/>
          <w:sz w:val="24"/>
          <w:szCs w:val="24"/>
        </w:rPr>
      </w:pPr>
      <w:r w:rsidDel="00000000" w:rsidR="00000000" w:rsidRPr="00000000">
        <w:rPr>
          <w:rtl w:val="0"/>
        </w:rPr>
      </w:r>
    </w:p>
    <w:p w:rsidR="00000000" w:rsidDel="00000000" w:rsidP="00000000" w:rsidRDefault="00000000" w:rsidRPr="00000000" w14:paraId="0000002C">
      <w:pPr>
        <w:jc w:val="center"/>
        <w:rPr>
          <w:b w:val="1"/>
          <w:sz w:val="24"/>
          <w:szCs w:val="24"/>
        </w:rPr>
      </w:pPr>
      <w:r w:rsidDel="00000000" w:rsidR="00000000" w:rsidRPr="00000000">
        <w:rPr>
          <w:rtl w:val="0"/>
        </w:rPr>
      </w:r>
    </w:p>
    <w:p w:rsidR="00000000" w:rsidDel="00000000" w:rsidP="00000000" w:rsidRDefault="00000000" w:rsidRPr="00000000" w14:paraId="0000002D">
      <w:pPr>
        <w:jc w:val="center"/>
        <w:rPr>
          <w:b w:val="1"/>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Emphasis">
    <w:name w:val="Emphasis"/>
    <w:basedOn w:val="DefaultParagraphFont"/>
    <w:uiPriority w:val="20"/>
    <w:qFormat w:val="1"/>
    <w:rsid w:val="00567A46"/>
    <w:rPr>
      <w:i w:val="1"/>
      <w:iCs w:val="1"/>
    </w:rPr>
  </w:style>
  <w:style w:type="table" w:styleId="TableGrid">
    <w:name w:val="Table Grid"/>
    <w:basedOn w:val="TableNormal"/>
    <w:uiPriority w:val="39"/>
    <w:rsid w:val="00567A4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9D5EFA"/>
    <w:pPr>
      <w:autoSpaceDE w:val="0"/>
      <w:autoSpaceDN w:val="0"/>
      <w:adjustRightInd w:val="0"/>
      <w:spacing w:after="0" w:line="240" w:lineRule="auto"/>
    </w:pPr>
    <w:rPr>
      <w:rFonts w:ascii="Times New Roman" w:cs="Times New Roman" w:hAnsi="Times New Roman"/>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eTTCnSyBcpPTdZD/RRVQMryxqg==">CgMxLjA4AHIhMXVnS2JLdGZuSkFkNWxKMnNvdDhJMW1NM1JXYThRTVFC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2024-05-14T06:31:00Z</dcterms:created>
  <dc:creator>Admin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0822ef8d-15db-47b0-b6ac-d57c61730825</vt:lpwstr>
  </property>
</Properties>
</file>